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4125" w14:textId="220D1D0F" w:rsidR="00482240" w:rsidRPr="00482240" w:rsidRDefault="00482240" w:rsidP="00482240">
      <w:pPr>
        <w:pStyle w:val="s1"/>
        <w:jc w:val="center"/>
        <w:rPr>
          <w:rFonts w:ascii="PT Serif" w:hAnsi="PT Serif"/>
          <w:b/>
          <w:bCs/>
          <w:color w:val="22272F"/>
          <w:sz w:val="28"/>
          <w:szCs w:val="28"/>
          <w:u w:val="single"/>
        </w:rPr>
      </w:pPr>
      <w:r w:rsidRPr="00482240">
        <w:rPr>
          <w:rFonts w:ascii="PT Serif" w:hAnsi="PT Serif"/>
          <w:b/>
          <w:bCs/>
          <w:color w:val="22272F"/>
          <w:sz w:val="28"/>
          <w:szCs w:val="28"/>
          <w:u w:val="single"/>
        </w:rPr>
        <w:t>1</w:t>
      </w:r>
      <w:r w:rsidRPr="00482240">
        <w:rPr>
          <w:rFonts w:ascii="PT Serif" w:hAnsi="PT Serif"/>
          <w:b/>
          <w:bCs/>
          <w:color w:val="22272F"/>
          <w:sz w:val="28"/>
          <w:szCs w:val="28"/>
          <w:u w:val="single"/>
        </w:rPr>
        <w:t>0. К заявке прилагаются следующие документы:</w:t>
      </w:r>
    </w:p>
    <w:p w14:paraId="1C7AF732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а</w:t>
      </w:r>
      <w:r w:rsidRPr="00D64C2E">
        <w:rPr>
          <w:rFonts w:ascii="PT Serif" w:hAnsi="PT Serif"/>
          <w:b/>
          <w:bCs/>
          <w:color w:val="22272F"/>
          <w:sz w:val="23"/>
          <w:szCs w:val="23"/>
          <w:u w:val="single"/>
        </w:rPr>
        <w:t>) план расположения энергопринимающих устройств</w:t>
      </w:r>
      <w:r>
        <w:rPr>
          <w:rFonts w:ascii="PT Serif" w:hAnsi="PT Serif"/>
          <w:color w:val="22272F"/>
          <w:sz w:val="23"/>
          <w:szCs w:val="23"/>
        </w:rPr>
        <w:t>, которые необходимо присоединить к электрическим сетям сетевой организации;</w:t>
      </w:r>
    </w:p>
    <w:p w14:paraId="3469E8F8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б)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 </w:t>
      </w:r>
      <w:proofErr w:type="spellStart"/>
      <w:r>
        <w:rPr>
          <w:rFonts w:ascii="PT Serif" w:hAnsi="PT Serif"/>
          <w:color w:val="22272F"/>
          <w:sz w:val="23"/>
          <w:szCs w:val="23"/>
        </w:rPr>
        <w:t>кВ</w:t>
      </w:r>
      <w:proofErr w:type="spellEnd"/>
      <w:r>
        <w:rPr>
          <w:rFonts w:ascii="PT Serif" w:hAnsi="PT Serif"/>
          <w:color w:val="22272F"/>
          <w:sz w:val="23"/>
          <w:szCs w:val="23"/>
        </w:rPr>
        <w:t xml:space="preserve">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14:paraId="36AFA0DE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в) 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14:paraId="6CAB9CB1" w14:textId="77777777" w:rsidR="00482240" w:rsidRPr="00D64C2E" w:rsidRDefault="00482240" w:rsidP="00482240">
      <w:pPr>
        <w:pStyle w:val="s1"/>
        <w:jc w:val="both"/>
        <w:rPr>
          <w:rFonts w:ascii="PT Serif" w:hAnsi="PT Serif"/>
          <w:b/>
          <w:bCs/>
          <w:color w:val="22272F"/>
          <w:u w:val="single"/>
        </w:rPr>
      </w:pPr>
      <w:r>
        <w:rPr>
          <w:rFonts w:ascii="PT Serif" w:hAnsi="PT Serif"/>
          <w:color w:val="22272F"/>
          <w:sz w:val="23"/>
          <w:szCs w:val="23"/>
        </w:rPr>
        <w:t>г) </w:t>
      </w:r>
      <w:r w:rsidRPr="00D64C2E">
        <w:rPr>
          <w:rFonts w:ascii="PT Serif" w:hAnsi="PT Serif"/>
          <w:b/>
          <w:bCs/>
          <w:color w:val="22272F"/>
          <w:u w:val="single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 объектах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14:paraId="7754FD54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</w:t>
      </w:r>
      <w:r w:rsidRPr="00D64C2E">
        <w:rPr>
          <w:rFonts w:ascii="PT Serif" w:hAnsi="PT Serif"/>
          <w:b/>
          <w:bCs/>
          <w:color w:val="22272F"/>
          <w:sz w:val="23"/>
          <w:szCs w:val="23"/>
          <w:u w:val="single"/>
        </w:rPr>
        <w:t>) 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</w:t>
      </w:r>
      <w:r>
        <w:rPr>
          <w:rFonts w:ascii="PT Serif" w:hAnsi="PT Serif"/>
          <w:color w:val="22272F"/>
          <w:sz w:val="23"/>
          <w:szCs w:val="23"/>
        </w:rPr>
        <w:t>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гражданин;</w:t>
      </w:r>
    </w:p>
    <w:p w14:paraId="6F7B72C8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д</w:t>
      </w:r>
      <w:r>
        <w:rPr>
          <w:rFonts w:ascii="PT Serif" w:hAnsi="PT Serif"/>
          <w:color w:val="22272F"/>
          <w:sz w:val="16"/>
          <w:szCs w:val="16"/>
          <w:vertAlign w:val="superscript"/>
        </w:rPr>
        <w:t> 1</w:t>
      </w:r>
      <w:r>
        <w:rPr>
          <w:rFonts w:ascii="PT Serif" w:hAnsi="PT Serif"/>
          <w:color w:val="22272F"/>
          <w:sz w:val="23"/>
          <w:szCs w:val="23"/>
        </w:rPr>
        <w:t xml:space="preserve">) в случае подачи заявки очно или почтой - 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 xml:space="preserve">заполненное согласие на обработку персональных данных сетевой организацией </w:t>
      </w:r>
      <w:r>
        <w:rPr>
          <w:rFonts w:ascii="PT Serif" w:hAnsi="PT Serif"/>
          <w:color w:val="22272F"/>
          <w:sz w:val="23"/>
          <w:szCs w:val="23"/>
        </w:rPr>
        <w:t>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14:paraId="6DEF64BB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е) </w:t>
      </w:r>
      <w:hyperlink r:id="rId4" w:anchor="/document/12179109/entry/100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утратил силу</w:t>
        </w:r>
      </w:hyperlink>
      <w:r>
        <w:rPr>
          <w:rFonts w:ascii="PT Serif" w:hAnsi="PT Serif"/>
          <w:color w:val="22272F"/>
          <w:sz w:val="23"/>
          <w:szCs w:val="23"/>
        </w:rPr>
        <w:t>;</w:t>
      </w:r>
    </w:p>
    <w:p w14:paraId="1EE0BED7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ж) 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>в случае технологического присоединения энергопринимающих устройств, указанных в </w:t>
      </w:r>
      <w:hyperlink r:id="rId5" w:anchor="/document/70474780/entry/40084" w:history="1">
        <w:r w:rsidRPr="000A48D5">
          <w:rPr>
            <w:rStyle w:val="a3"/>
            <w:rFonts w:ascii="PT Serif" w:hAnsi="PT Serif"/>
            <w:b/>
            <w:bCs/>
            <w:color w:val="3272C0"/>
            <w:sz w:val="23"/>
            <w:szCs w:val="23"/>
          </w:rPr>
          <w:t>абзаце первом пункта 8.4</w:t>
        </w:r>
      </w:hyperlink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 xml:space="preserve"> настоящих Правил, копия документа, подтверждающего согласие организации, осуществляющей управление 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lastRenderedPageBreak/>
        <w:t>многоквартирным домом</w:t>
      </w:r>
      <w:r>
        <w:rPr>
          <w:rFonts w:ascii="PT Serif" w:hAnsi="PT Serif"/>
          <w:color w:val="22272F"/>
          <w:sz w:val="23"/>
          <w:szCs w:val="23"/>
        </w:rPr>
        <w:t xml:space="preserve">, 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>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</w:t>
      </w:r>
      <w:r>
        <w:rPr>
          <w:rFonts w:ascii="PT Serif" w:hAnsi="PT Serif"/>
          <w:color w:val="22272F"/>
          <w:sz w:val="23"/>
          <w:szCs w:val="23"/>
        </w:rPr>
        <w:t xml:space="preserve">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организации);</w:t>
      </w:r>
    </w:p>
    <w:p w14:paraId="2F05FA6D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з) утратил силу с 20 октября 2021 г. - </w:t>
      </w:r>
      <w:hyperlink r:id="rId6" w:anchor="/document/402907291/entry/102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Постановление</w:t>
        </w:r>
      </w:hyperlink>
      <w:r>
        <w:rPr>
          <w:rFonts w:ascii="PT Serif" w:hAnsi="PT Serif"/>
          <w:color w:val="22272F"/>
          <w:sz w:val="23"/>
          <w:szCs w:val="23"/>
        </w:rPr>
        <w:t> Правительства России от 9 октября 2021 г. N 1711</w:t>
      </w:r>
    </w:p>
    <w:p w14:paraId="05035371" w14:textId="77777777" w:rsidR="00482240" w:rsidRPr="000A48D5" w:rsidRDefault="00482240" w:rsidP="00482240">
      <w:pPr>
        <w:pStyle w:val="s1"/>
        <w:jc w:val="both"/>
        <w:rPr>
          <w:rFonts w:ascii="PT Serif" w:hAnsi="PT Serif"/>
          <w:b/>
          <w:bCs/>
          <w:color w:val="22272F"/>
          <w:sz w:val="23"/>
          <w:szCs w:val="23"/>
          <w:u w:val="single"/>
        </w:rPr>
      </w:pPr>
      <w:r>
        <w:rPr>
          <w:rFonts w:ascii="PT Serif" w:hAnsi="PT Serif"/>
          <w:color w:val="22272F"/>
          <w:sz w:val="23"/>
          <w:szCs w:val="23"/>
        </w:rPr>
        <w:t>з</w:t>
      </w:r>
      <w:r>
        <w:rPr>
          <w:rFonts w:ascii="PT Serif" w:hAnsi="PT Serif"/>
          <w:color w:val="22272F"/>
          <w:sz w:val="16"/>
          <w:szCs w:val="16"/>
          <w:vertAlign w:val="superscript"/>
        </w:rPr>
        <w:t> 1</w:t>
      </w:r>
      <w:r>
        <w:rPr>
          <w:rFonts w:ascii="PT Serif" w:hAnsi="PT Serif"/>
          <w:color w:val="22272F"/>
          <w:sz w:val="23"/>
          <w:szCs w:val="23"/>
        </w:rPr>
        <w:t xml:space="preserve">) 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>в случае технологического присоединения энергопринимающих устройств, принадлежащих потребительскому кооперативу (гаражно-строительному, гаражному кооперативу) (далее - кооператив) либо его членам</w:t>
      </w:r>
      <w:r>
        <w:rPr>
          <w:rFonts w:ascii="PT Serif" w:hAnsi="PT Serif"/>
          <w:color w:val="22272F"/>
          <w:sz w:val="23"/>
          <w:szCs w:val="23"/>
        </w:rPr>
        <w:t xml:space="preserve">, - 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>справка о количестве гаражей либо иных объектов, расположенных в границах территории кооператива, с указанием информации о фамилии, имени, отчестве собственников или иных законных владельцев гаражей либо иных объектов,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 номера земельных участков, расположенных в границах территории кооператива, и данные о величине максимальной мощности энергопринимающих устройств, выделенной на каждый гараж либо иной объект, расположенный в границах территории кооператива, в соответствии с решением общего собрания членов кооператива;</w:t>
      </w:r>
    </w:p>
    <w:p w14:paraId="11AA4207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и) 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 </w:t>
      </w:r>
      <w:hyperlink r:id="rId7" w:anchor="/document/70183216/entry/4054" w:history="1">
        <w:r>
          <w:rPr>
            <w:rStyle w:val="a3"/>
            <w:rFonts w:ascii="PT Serif" w:hAnsi="PT Serif"/>
            <w:color w:val="3272C0"/>
            <w:sz w:val="23"/>
            <w:szCs w:val="23"/>
          </w:rPr>
          <w:t>пунктом 33</w:t>
        </w:r>
      </w:hyperlink>
      <w:r>
        <w:rPr>
          <w:rFonts w:ascii="PT Serif" w:hAnsi="PT Serif"/>
          <w:color w:val="22272F"/>
          <w:sz w:val="23"/>
          <w:szCs w:val="23"/>
        </w:rPr>
        <w:t> 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поставщиком), с приложением документов, подтверждающих полномочия представителя заявителя на заключение такого договора;</w:t>
      </w:r>
    </w:p>
    <w:p w14:paraId="473C5746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к)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соответственно, разработанная заявителем и согласованная им с сетевой организацией и субъектом оперативно-диспетчерского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энергосистем, </w:t>
      </w:r>
      <w:r>
        <w:rPr>
          <w:rFonts w:ascii="PT Serif" w:hAnsi="PT Serif"/>
          <w:color w:val="22272F"/>
          <w:sz w:val="23"/>
          <w:szCs w:val="23"/>
        </w:rPr>
        <w:lastRenderedPageBreak/>
        <w:t>утвержденными федеральным органом исполнительной власти, уполномоченным Правительством Российской Федерации на осуществление функций по выработке и реализации государственной политики и нормативно-правовому регулированию в топливно-энергетическом комплексе;</w:t>
      </w:r>
    </w:p>
    <w:p w14:paraId="4F86D6AD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 xml:space="preserve">л) </w:t>
      </w:r>
      <w:r w:rsidRPr="000A48D5">
        <w:rPr>
          <w:rFonts w:ascii="PT Serif" w:hAnsi="PT Serif"/>
          <w:b/>
          <w:bCs/>
          <w:color w:val="22272F"/>
          <w:sz w:val="23"/>
          <w:szCs w:val="23"/>
          <w:u w:val="single"/>
        </w:rPr>
        <w:t>в случае технологического присоединения энергопринимающих устройств, расположенных в границах территории садоводства или огородничества, или энергопринимающих устройств, принадлежащих кооперативу либо его членам, - заполненное всеми гражданами, осуществляющими ведение садоводства или огородничества на земельных участках, расположенных в границах территории садоводства или огородничества, иными правообладателями объектов недвижимости, расположенных в границах территории садоводства или огородничества, или собственниками, или иными законными владельцами гаражей либо иных объектов, расположенных в границах территории кооператива, в отношении энергопринимающих устройств которых подается заявка, согласие на обработку персональных данных сетевой организацией и субъектом розничного рынка, с которым заявитель намеревается заключить договор, обеспечивающий продажу электрической энергии (мощности) на розничном рынке;</w:t>
      </w:r>
    </w:p>
    <w:p w14:paraId="5EA5BAD1" w14:textId="77777777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м) копия решения уполномоченного федерального органа исполнительной власти о реализации мероприятий по обеспечению вывода объекта по производству электрической энергии (мощности) из эксплуатации - в случае если вывод из эксплуатации принадлежащего заявителю объекта по производству электрической энергии (мощности) осуществляется в целях его замещения присоединяемым к электрическим сетям объектом по производству электрической энергии (мощности), указанным в заявке, строительство (реконструкция) которого также выполняются заявителем, и указанное решение уполномоченного федерального органа исполнительной власти получено до подачи в сетевую организацию заявки на технологическое присоединение замещающего объекта.</w:t>
      </w:r>
    </w:p>
    <w:p w14:paraId="5E26C6D7" w14:textId="26B25254" w:rsidR="00482240" w:rsidRDefault="00482240" w:rsidP="00482240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</w:p>
    <w:p w14:paraId="3034F12B" w14:textId="77777777" w:rsidR="00883706" w:rsidRPr="00482240" w:rsidRDefault="00883706" w:rsidP="00482240"/>
    <w:sectPr w:rsidR="00883706" w:rsidRPr="0048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40"/>
    <w:rsid w:val="000A48D5"/>
    <w:rsid w:val="00482240"/>
    <w:rsid w:val="00883706"/>
    <w:rsid w:val="00D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24E79"/>
  <w15:chartTrackingRefBased/>
  <w15:docId w15:val="{28BCD507-C00D-4424-B2DF-3C40C6FB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2240"/>
    <w:rPr>
      <w:color w:val="0000FF"/>
      <w:u w:val="single"/>
    </w:rPr>
  </w:style>
  <w:style w:type="paragraph" w:customStyle="1" w:styleId="s22">
    <w:name w:val="s_22"/>
    <w:basedOn w:val="a"/>
    <w:rsid w:val="004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82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1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6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39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0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25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2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058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53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0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98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334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9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1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7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181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9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409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933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300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83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2021-12-16T11:03:00Z</dcterms:created>
  <dcterms:modified xsi:type="dcterms:W3CDTF">2021-12-16T11:11:00Z</dcterms:modified>
</cp:coreProperties>
</file>